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6E06EB" w14:textId="5D8983BD" w:rsidR="003D32B5" w:rsidRDefault="003D32B5" w:rsidP="000D41A6">
      <w:pPr>
        <w:spacing w:line="240" w:lineRule="auto"/>
      </w:pPr>
      <w:r>
        <w:t>Tribune parue sur le site du Monde le 17 août 2026.</w:t>
      </w:r>
    </w:p>
    <w:p w14:paraId="4ABEA67D" w14:textId="5089A381" w:rsidR="003D32B5" w:rsidRDefault="003D32B5" w:rsidP="000D41A6">
      <w:pPr>
        <w:spacing w:line="240" w:lineRule="auto"/>
      </w:pPr>
      <w:r>
        <w:t>La liste des signataires est sur le site les184.com</w:t>
      </w:r>
    </w:p>
    <w:p w14:paraId="087DDD57" w14:textId="77777777" w:rsidR="003D32B5" w:rsidRPr="003D32B5" w:rsidRDefault="003D32B5" w:rsidP="003D32B5">
      <w:pPr>
        <w:spacing w:line="240" w:lineRule="auto"/>
        <w:rPr>
          <w:sz w:val="32"/>
          <w:szCs w:val="32"/>
        </w:rPr>
      </w:pPr>
      <w:hyperlink r:id="rId4" w:history="1">
        <w:r w:rsidRPr="003D32B5">
          <w:rPr>
            <w:rStyle w:val="Lienhypertexte"/>
            <w:sz w:val="32"/>
            <w:szCs w:val="32"/>
          </w:rPr>
          <w:t>Aide à mourir : « La liberté de refus d’un établissement privé pourrait rendre illusoire l’exercice d’un droit de la personne en fin de vie</w:t>
        </w:r>
      </w:hyperlink>
      <w:r w:rsidRPr="003D32B5">
        <w:rPr>
          <w:sz w:val="32"/>
          <w:szCs w:val="32"/>
        </w:rPr>
        <w:t> </w:t>
      </w:r>
    </w:p>
    <w:p w14:paraId="331D1BAD" w14:textId="77777777" w:rsidR="003D32B5" w:rsidRPr="003D32B5" w:rsidRDefault="003D32B5" w:rsidP="000D41A6">
      <w:pPr>
        <w:spacing w:line="240" w:lineRule="auto"/>
        <w:rPr>
          <w:sz w:val="32"/>
          <w:szCs w:val="32"/>
        </w:rPr>
      </w:pPr>
    </w:p>
    <w:p w14:paraId="6340E0D7" w14:textId="55C61059"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Le 14 août 2026, le Conseil constitutionnel a validé la loi sur l’aide à mourir, adoptée un mois plus tôt. L’une de ses réserves d’interprétation répond à une question essentielle : un établissement privé peut-il refuser que l’acte se déroule dans ses murs ? Le Conseil répond oui en invoquant les libertés d'entreprendre et d'association. Il impose deux conditions cumulatives. Le refus est justifié si la procédure est « manifestement contraire aux missions statutaires ou au projet de l’établissement », et ce refus ne peut être opposé que « lorsque d’autres établissements sont en mesure de répondre aux besoins locaux », reprenant mot pour mot la formule de l’article L. 2212-8 du Code de la santé publique, qui organise déjà ce mécanisme pour l’interruption volontaire de grossesse (IVG).</w:t>
      </w:r>
    </w:p>
    <w:p w14:paraId="4AFE8487" w14:textId="77777777"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Cette clause d’établissement, réclamée par le président du Sénat et le Premier ministre, ne doit pas être confondue avec la clause de conscience individuelle. Le Conseil constitutionnel a traité les deux séparément. Il étend aux pharmaciens et pharmaciennes la clause de conscience individuelle jusqu’ici réservée aux médecins et au personnel infirmier.</w:t>
      </w:r>
    </w:p>
    <w:p w14:paraId="212F0284" w14:textId="77777777"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 xml:space="preserve">Mais que se passera-t-il à partir de 2027, date d’application de la loi ? Un patient remplissant toutes les conditions légales, accepté par son médecin volontaire, pourra se heurter au refus de l’établissement privé où il est pris en charge :  </w:t>
      </w:r>
      <w:proofErr w:type="spellStart"/>
      <w:r w:rsidRPr="000D41A6">
        <w:rPr>
          <w:rFonts w:ascii="Arial" w:eastAsia="Times New Roman" w:hAnsi="Arial" w:cs="Arial"/>
          <w:color w:val="000000"/>
          <w:kern w:val="0"/>
          <w:sz w:val="22"/>
          <w:szCs w:val="22"/>
          <w:lang w:eastAsia="fr-FR"/>
          <w14:ligatures w14:val="none"/>
        </w:rPr>
        <w:t>Ehpads</w:t>
      </w:r>
      <w:proofErr w:type="spellEnd"/>
      <w:r w:rsidRPr="000D41A6">
        <w:rPr>
          <w:rFonts w:ascii="Arial" w:eastAsia="Times New Roman" w:hAnsi="Arial" w:cs="Arial"/>
          <w:color w:val="000000"/>
          <w:kern w:val="0"/>
          <w:sz w:val="22"/>
          <w:szCs w:val="22"/>
          <w:lang w:eastAsia="fr-FR"/>
          <w14:ligatures w14:val="none"/>
        </w:rPr>
        <w:t>, établissements médico sociaux, maisons d'accompagnement... Les lieux concernés sont nombreux.</w:t>
      </w:r>
    </w:p>
    <w:p w14:paraId="238042C5" w14:textId="77777777"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Le médecin volontaire pourra-t-il exercer son choix ? Le patient devra-t-il être transféré, et qui organisera ce transfert ? Sera-t-il possible lorsqu’aucun médecin volontaire ne sera disponible à proximité ? Et surtout : est-il éthique de déplacer une personne en fin de vie, parfois douloureuse et fragile, pour lui permettre d’accéder à un droit reconnu par la loi ?</w:t>
      </w:r>
    </w:p>
    <w:p w14:paraId="0A8E379E" w14:textId="77777777"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La liberté de refus d’un établissement privé pourrait rendre illusoire l’exercice d’un droit de la personne en fin de vie. La continuité des soins doit être garantie. Ainsi, si un établissement refuse d’organiser une aide à mourir, il sera nécessaire de déterminer ses obligations d’information, d’orientation pour la continuité des soins. Une institution pourrait refuser qu’un médecin volontaire pratique dans ses locaux un acte pourtant légal. Le patient devra être informé en amont de la position de l’établissement.</w:t>
      </w:r>
    </w:p>
    <w:p w14:paraId="0CF856C8" w14:textId="77777777"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 xml:space="preserve">Le rôle de l’Ordre sera déterminant. Il avait exprimé ses réticences à l’égard de l’évolution législative. </w:t>
      </w:r>
      <w:proofErr w:type="gramStart"/>
      <w:r w:rsidRPr="000D41A6">
        <w:rPr>
          <w:rFonts w:ascii="Arial" w:eastAsia="Times New Roman" w:hAnsi="Arial" w:cs="Arial"/>
          <w:color w:val="000000"/>
          <w:kern w:val="0"/>
          <w:sz w:val="22"/>
          <w:szCs w:val="22"/>
          <w:lang w:eastAsia="fr-FR"/>
          <w14:ligatures w14:val="none"/>
        </w:rPr>
        <w:t>Il  avait</w:t>
      </w:r>
      <w:proofErr w:type="gramEnd"/>
      <w:r w:rsidRPr="000D41A6">
        <w:rPr>
          <w:rFonts w:ascii="Arial" w:eastAsia="Times New Roman" w:hAnsi="Arial" w:cs="Arial"/>
          <w:color w:val="000000"/>
          <w:kern w:val="0"/>
          <w:sz w:val="22"/>
          <w:szCs w:val="22"/>
          <w:lang w:eastAsia="fr-FR"/>
          <w14:ligatures w14:val="none"/>
        </w:rPr>
        <w:t>  aussi indiqué qu’il respecterait la loi, en défendant la clause de conscience pour les médecins ne souhaitant pas participer tout en protégeant ceux qui accepteraient de le faire. Il pourrait aussi proposer le recours à des médecins retraités dans certaines situations.</w:t>
      </w:r>
    </w:p>
    <w:p w14:paraId="2E25FAD8" w14:textId="77777777" w:rsidR="000D41A6" w:rsidRPr="000D41A6" w:rsidRDefault="000D41A6" w:rsidP="000D41A6">
      <w:pPr>
        <w:spacing w:after="240"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 xml:space="preserve">L'expérience belge est instructive. La loi de 2002 sur l'euthanasie prévoit une clause de conscience individuelle : tout soignant peut refuser de participer à une euthanasie. Certaines institutions confessionnelles ont voulu l'étendre à une clause de conscience institutionnelle. Mais un règlement intérieur excluant l'euthanasie reviendrait à priver les résidents d'un droit reconnu par la loi. En 2015, la jurisprudence a condamné une maison de repos qui avait refusé l'accès à un médecin extérieur venu pratiquer une euthanasie chez une résidente remplissant tous les critères légaux.  En bloquant l'acte et en contraignant la patiente in extremis à devoir quitter son lieu de vie, c’est-à-dire sa résidence principale, pour aller se </w:t>
      </w:r>
      <w:r w:rsidRPr="000D41A6">
        <w:rPr>
          <w:rFonts w:ascii="Arial" w:eastAsia="Times New Roman" w:hAnsi="Arial" w:cs="Arial"/>
          <w:color w:val="000000"/>
          <w:kern w:val="0"/>
          <w:sz w:val="22"/>
          <w:szCs w:val="22"/>
          <w:lang w:eastAsia="fr-FR"/>
          <w14:ligatures w14:val="none"/>
        </w:rPr>
        <w:lastRenderedPageBreak/>
        <w:t>faire euthanasier ailleurs, l'établissement a commis, selon les juges une faute civile, génératrice d'un préjudice moral pour la famille. En 2020, la loi belge de 2002 est amendée pour préciser que la clause de conscience doit rester individuelle sur les arguments suivants : absence d'attributs moraux pour une institution, garantie d'accès aux droits des patients et protection de la liberté individuelle du médecin.</w:t>
      </w:r>
    </w:p>
    <w:p w14:paraId="0214EF30" w14:textId="36C59436"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Il ne s’agit pas de transposer le modèle belge à la France. Cette expérience montre cependant qu’il est possible de protéger la conscience du professionnel sans faire de l’institution un obstacle à l’exercice d’un droit légal. Au Québec, la clause de conscience collective a été supprimée au bout de huit ans en 2023.</w:t>
      </w:r>
    </w:p>
    <w:p w14:paraId="7828B92F" w14:textId="77777777" w:rsidR="000D41A6" w:rsidRPr="000D41A6" w:rsidRDefault="000D41A6" w:rsidP="000D41A6">
      <w:pPr>
        <w:spacing w:line="240" w:lineRule="auto"/>
        <w:rPr>
          <w:rFonts w:ascii="Times New Roman" w:eastAsia="Times New Roman" w:hAnsi="Times New Roman" w:cs="Times New Roman"/>
          <w:kern w:val="0"/>
          <w:lang w:eastAsia="fr-FR"/>
          <w14:ligatures w14:val="none"/>
        </w:rPr>
      </w:pPr>
      <w:r w:rsidRPr="000D41A6">
        <w:rPr>
          <w:rFonts w:ascii="Arial" w:eastAsia="Times New Roman" w:hAnsi="Arial" w:cs="Arial"/>
          <w:color w:val="000000"/>
          <w:kern w:val="0"/>
          <w:sz w:val="22"/>
          <w:szCs w:val="22"/>
          <w:lang w:eastAsia="fr-FR"/>
          <w14:ligatures w14:val="none"/>
        </w:rPr>
        <w:t>Le Conseil constitutionnel a tracé une limite, sans écrire le mode d’emploi. Un droit reconnu qui se heurte, sur le terrain, à des obstacles concrets devient une promesse suspendue à la bonne volonté de chacun. Les textes d’application, avec l’appui de l’Ordre des Médecins, devront préciser ce que « répondre aux besoins locaux » signifie réellement pour une personne dont le temps est compté. Les personnes en fin de vie n’ont pas le temps d’attendre que le système s’ajuste.</w:t>
      </w:r>
    </w:p>
    <w:p w14:paraId="3C43C8DC" w14:textId="2C4204ED" w:rsidR="00D57F8C" w:rsidRPr="000D41A6" w:rsidRDefault="00D57F8C" w:rsidP="000D41A6">
      <w:pPr>
        <w:spacing w:line="240" w:lineRule="auto"/>
        <w:rPr>
          <w:rFonts w:ascii="Times New Roman" w:eastAsia="Times New Roman" w:hAnsi="Times New Roman" w:cs="Times New Roman"/>
          <w:kern w:val="0"/>
          <w:lang w:eastAsia="fr-FR"/>
          <w14:ligatures w14:val="none"/>
        </w:rPr>
      </w:pPr>
    </w:p>
    <w:sectPr w:rsidR="00D57F8C" w:rsidRPr="000D41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74"/>
    <w:rsid w:val="000D41A6"/>
    <w:rsid w:val="00362F74"/>
    <w:rsid w:val="003A109E"/>
    <w:rsid w:val="003C12AF"/>
    <w:rsid w:val="003D32B5"/>
    <w:rsid w:val="007E6A1C"/>
    <w:rsid w:val="00803C0F"/>
    <w:rsid w:val="0086569B"/>
    <w:rsid w:val="00CE7CF3"/>
    <w:rsid w:val="00D57F8C"/>
    <w:rsid w:val="00DC0FC6"/>
    <w:rsid w:val="00E154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738C5F3"/>
  <w15:chartTrackingRefBased/>
  <w15:docId w15:val="{B2EC5A40-8FE0-AC46-831C-BD2CC9FBD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2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2F7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2F7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2F7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2F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2F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2F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2F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2F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2F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2F7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2F7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2F7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2F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2F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2F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2F74"/>
    <w:rPr>
      <w:rFonts w:eastAsiaTheme="majorEastAsia" w:cstheme="majorBidi"/>
      <w:color w:val="272727" w:themeColor="text1" w:themeTint="D8"/>
    </w:rPr>
  </w:style>
  <w:style w:type="paragraph" w:styleId="Titre">
    <w:name w:val="Title"/>
    <w:basedOn w:val="Normal"/>
    <w:next w:val="Normal"/>
    <w:link w:val="TitreCar"/>
    <w:uiPriority w:val="10"/>
    <w:qFormat/>
    <w:rsid w:val="00362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2F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2F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2F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2F74"/>
    <w:pPr>
      <w:spacing w:before="160"/>
      <w:jc w:val="center"/>
    </w:pPr>
    <w:rPr>
      <w:i/>
      <w:iCs/>
      <w:color w:val="404040" w:themeColor="text1" w:themeTint="BF"/>
    </w:rPr>
  </w:style>
  <w:style w:type="character" w:customStyle="1" w:styleId="CitationCar">
    <w:name w:val="Citation Car"/>
    <w:basedOn w:val="Policepardfaut"/>
    <w:link w:val="Citation"/>
    <w:uiPriority w:val="29"/>
    <w:rsid w:val="00362F74"/>
    <w:rPr>
      <w:i/>
      <w:iCs/>
      <w:color w:val="404040" w:themeColor="text1" w:themeTint="BF"/>
    </w:rPr>
  </w:style>
  <w:style w:type="paragraph" w:styleId="Paragraphedeliste">
    <w:name w:val="List Paragraph"/>
    <w:basedOn w:val="Normal"/>
    <w:uiPriority w:val="34"/>
    <w:qFormat/>
    <w:rsid w:val="00362F74"/>
    <w:pPr>
      <w:ind w:left="720"/>
      <w:contextualSpacing/>
    </w:pPr>
  </w:style>
  <w:style w:type="character" w:styleId="Accentuationintense">
    <w:name w:val="Intense Emphasis"/>
    <w:basedOn w:val="Policepardfaut"/>
    <w:uiPriority w:val="21"/>
    <w:qFormat/>
    <w:rsid w:val="00362F74"/>
    <w:rPr>
      <w:i/>
      <w:iCs/>
      <w:color w:val="0F4761" w:themeColor="accent1" w:themeShade="BF"/>
    </w:rPr>
  </w:style>
  <w:style w:type="paragraph" w:styleId="Citationintense">
    <w:name w:val="Intense Quote"/>
    <w:basedOn w:val="Normal"/>
    <w:next w:val="Normal"/>
    <w:link w:val="CitationintenseCar"/>
    <w:uiPriority w:val="30"/>
    <w:qFormat/>
    <w:rsid w:val="00362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2F74"/>
    <w:rPr>
      <w:i/>
      <w:iCs/>
      <w:color w:val="0F4761" w:themeColor="accent1" w:themeShade="BF"/>
    </w:rPr>
  </w:style>
  <w:style w:type="character" w:styleId="Rfrenceintense">
    <w:name w:val="Intense Reference"/>
    <w:basedOn w:val="Policepardfaut"/>
    <w:uiPriority w:val="32"/>
    <w:qFormat/>
    <w:rsid w:val="00362F74"/>
    <w:rPr>
      <w:b/>
      <w:bCs/>
      <w:smallCaps/>
      <w:color w:val="0F4761" w:themeColor="accent1" w:themeShade="BF"/>
      <w:spacing w:val="5"/>
    </w:rPr>
  </w:style>
  <w:style w:type="paragraph" w:styleId="NormalWeb">
    <w:name w:val="Normal (Web)"/>
    <w:basedOn w:val="Normal"/>
    <w:uiPriority w:val="99"/>
    <w:semiHidden/>
    <w:unhideWhenUsed/>
    <w:rsid w:val="00362F74"/>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semiHidden/>
    <w:unhideWhenUsed/>
    <w:rsid w:val="003D32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idees/article/2026/08/17/aide-a-mourir-la-liberte-de-refus-d-un-etablissement-prive-pourrait-rendre-illusoire-l-exercice-d-un-droit-de-la-personne-en-fin-de-vie_6748223_3232.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793</Words>
  <Characters>4397</Characters>
  <Application>Microsoft Office Word</Application>
  <DocSecurity>0</DocSecurity>
  <Lines>65</Lines>
  <Paragraphs>24</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berriau</dc:creator>
  <cp:keywords/>
  <dc:description/>
  <cp:lastModifiedBy>nathalie berriau</cp:lastModifiedBy>
  <cp:revision>2</cp:revision>
  <dcterms:created xsi:type="dcterms:W3CDTF">2026-08-17T14:44:00Z</dcterms:created>
  <dcterms:modified xsi:type="dcterms:W3CDTF">2026-08-17T14:44:00Z</dcterms:modified>
</cp:coreProperties>
</file>